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13" w:rsidRDefault="00340D13" w:rsidP="00AA205E">
      <w:pPr>
        <w:ind w:left="0"/>
        <w:rPr>
          <w:rFonts w:cs="Arial"/>
          <w:b/>
          <w:sz w:val="24"/>
          <w:szCs w:val="24"/>
          <w:lang w:val="pt-PT"/>
        </w:rPr>
      </w:pPr>
      <w:r>
        <w:rPr>
          <w:rFonts w:asciiTheme="minorHAnsi" w:hAnsiTheme="minorHAnsi" w:cs="Arial"/>
          <w:b/>
          <w:noProof/>
          <w:sz w:val="24"/>
          <w:szCs w:val="24"/>
          <w:u w:val="single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34BD34A3" wp14:editId="599919BF">
            <wp:simplePos x="0" y="0"/>
            <wp:positionH relativeFrom="column">
              <wp:posOffset>-73025</wp:posOffset>
            </wp:positionH>
            <wp:positionV relativeFrom="paragraph">
              <wp:posOffset>-850265</wp:posOffset>
            </wp:positionV>
            <wp:extent cx="2242185" cy="603885"/>
            <wp:effectExtent l="0" t="0" r="0" b="0"/>
            <wp:wrapNone/>
            <wp:docPr id="1" name="Imagem 1" descr="17-Digital_PT_4C_H_FC_MAF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17-Digital_PT_4C_H_FC_MAFD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521" w:rsidRDefault="009E3521" w:rsidP="004A2485">
      <w:pPr>
        <w:ind w:left="0"/>
        <w:rPr>
          <w:rFonts w:ascii="Trebuchet MS" w:hAnsi="Trebuchet MS"/>
          <w:lang w:val="pt-PT"/>
        </w:rPr>
      </w:pPr>
    </w:p>
    <w:p w:rsidR="00655951" w:rsidRDefault="00655951" w:rsidP="00655951">
      <w:pPr>
        <w:ind w:left="0"/>
        <w:rPr>
          <w:rFonts w:ascii="Trebuchet MS" w:hAnsi="Trebuchet MS"/>
          <w:lang w:val="pt-PT"/>
        </w:rPr>
      </w:pPr>
      <w:bookmarkStart w:id="0" w:name="_GoBack"/>
      <w:bookmarkEnd w:id="0"/>
      <w:r>
        <w:rPr>
          <w:rFonts w:ascii="Trebuchet MS" w:hAnsi="Trebuchet MS"/>
          <w:lang w:val="pt-PT"/>
        </w:rPr>
        <w:t>A Dietanolamina é utilizada como excipiente em medicamentos veterinários anti-inflamatórios e antimicrobianos em equinos, bovinos e suínos.</w:t>
      </w:r>
    </w:p>
    <w:p w:rsidR="00655951" w:rsidRDefault="00655951" w:rsidP="00655951">
      <w:pPr>
        <w:ind w:left="0"/>
        <w:rPr>
          <w:rFonts w:ascii="Trebuchet MS" w:hAnsi="Trebuchet MS"/>
          <w:lang w:val="pt-PT"/>
        </w:rPr>
      </w:pPr>
    </w:p>
    <w:p w:rsidR="00655951" w:rsidRDefault="00655951" w:rsidP="00655951">
      <w:pPr>
        <w:ind w:left="0"/>
        <w:rPr>
          <w:rFonts w:ascii="Trebuchet MS" w:hAnsi="Trebuchet MS"/>
          <w:lang w:val="pt-PT"/>
        </w:rPr>
      </w:pPr>
      <w:r>
        <w:rPr>
          <w:rFonts w:ascii="Trebuchet MS" w:hAnsi="Trebuchet MS"/>
          <w:lang w:val="pt-PT"/>
        </w:rPr>
        <w:t xml:space="preserve">O Comité concluiu um procedimento relativo ao risco para o consumidor e à necessidade do estabelecimento do limite máximo de resíduos (LMR) para a Dietanolamina, um excipiente incluído em vários medicamentos veterinários para animais produtores de alimentos para consumo humano. O procedimento realizou-se na sequência de um pedido da Bélgica para que o Comité emitisse um parecer científico, ao abrigo do artigo 30.º, do Regulamento (CE) nº 726/2004, devido a preocupações quanto à toxicidade da Dietanolamina. O CVMP </w:t>
      </w:r>
      <w:r w:rsidR="00B766E7">
        <w:rPr>
          <w:rFonts w:ascii="Trebuchet MS" w:hAnsi="Trebuchet MS"/>
          <w:lang w:val="pt-PT"/>
        </w:rPr>
        <w:t>adotou</w:t>
      </w:r>
      <w:r>
        <w:rPr>
          <w:rFonts w:ascii="Trebuchet MS" w:hAnsi="Trebuchet MS"/>
          <w:lang w:val="pt-PT"/>
        </w:rPr>
        <w:t xml:space="preserve"> por consenso um parecer que responde a perguntas específicas colocadas pela Bélgica e concluiu não ser possível excluir um risco para os consumidores, confirmando assim que a substância não é adequada para inclusão na lista «fora de âmbito» de substâncias abrangidas pelo Regulamento (CE) n.º 470/2009. A fim de permitir uma análise mais aprofundada sobre a utilização de Dietanolamina em medicamentos veterinários para animais destinados à alimentação humana, será necessário um pedido de estabelecimento de LMR.</w:t>
      </w:r>
    </w:p>
    <w:p w:rsidR="00655951" w:rsidRDefault="00655951" w:rsidP="00655951">
      <w:pPr>
        <w:ind w:left="0"/>
        <w:rPr>
          <w:rFonts w:ascii="Trebuchet MS" w:hAnsi="Trebuchet MS"/>
          <w:lang w:val="pt-PT"/>
        </w:rPr>
      </w:pPr>
    </w:p>
    <w:p w:rsidR="00C830E8" w:rsidRPr="00B376A4" w:rsidRDefault="00C830E8" w:rsidP="00C830E8">
      <w:pPr>
        <w:ind w:left="0"/>
        <w:rPr>
          <w:rFonts w:ascii="Trebuchet MS" w:hAnsi="Trebuchet MS"/>
          <w:lang w:val="pt-PT"/>
        </w:rPr>
      </w:pPr>
      <w:r w:rsidRPr="00B376A4">
        <w:rPr>
          <w:rFonts w:ascii="Trebuchet MS" w:hAnsi="Trebuchet MS"/>
          <w:lang w:val="pt-PT"/>
        </w:rPr>
        <w:t>Lista de medicamentos veterinários suspensos:</w:t>
      </w:r>
    </w:p>
    <w:p w:rsidR="00C830E8" w:rsidRPr="00B376A4" w:rsidRDefault="00C830E8" w:rsidP="00C830E8">
      <w:pPr>
        <w:ind w:left="0"/>
        <w:rPr>
          <w:rFonts w:ascii="Trebuchet MS" w:hAnsi="Trebuchet MS"/>
          <w:lang w:val="pt-PT"/>
        </w:rPr>
      </w:pPr>
    </w:p>
    <w:tbl>
      <w:tblPr>
        <w:tblW w:w="13325" w:type="dxa"/>
        <w:tblCellSpacing w:w="0" w:type="dxa"/>
        <w:tblInd w:w="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77"/>
        <w:gridCol w:w="1701"/>
        <w:gridCol w:w="2835"/>
        <w:gridCol w:w="1842"/>
        <w:gridCol w:w="1656"/>
        <w:gridCol w:w="2314"/>
      </w:tblGrid>
      <w:tr w:rsidR="006C018A" w:rsidRPr="00B376A4" w:rsidTr="003F4E38">
        <w:trPr>
          <w:tblHeader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8A" w:rsidRPr="00B376A4" w:rsidRDefault="006C018A" w:rsidP="00CC584F">
            <w:pPr>
              <w:ind w:left="11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PT" w:eastAsia="en-GB"/>
              </w:rPr>
              <w:t>NOME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8A" w:rsidRPr="00B376A4" w:rsidRDefault="006C018A" w:rsidP="00CC584F">
            <w:pPr>
              <w:ind w:left="11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PT" w:eastAsia="en-GB"/>
              </w:rPr>
              <w:t>Nº DA AIM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8A" w:rsidRPr="00B376A4" w:rsidRDefault="006C018A" w:rsidP="003F4E38">
            <w:pPr>
              <w:ind w:left="11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PT" w:eastAsia="en-GB"/>
              </w:rPr>
              <w:t>SUBSTÂNCIA</w:t>
            </w:r>
            <w:r w:rsidR="003F4E38" w:rsidRPr="00B376A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B376A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PT" w:eastAsia="en-GB"/>
              </w:rPr>
              <w:t>ATIVA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8A" w:rsidRPr="00B376A4" w:rsidRDefault="006C018A" w:rsidP="003F4E38">
            <w:pPr>
              <w:ind w:left="1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PT" w:eastAsia="en-GB"/>
              </w:rPr>
              <w:t>FORMA FARMACÊUTICA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8A" w:rsidRPr="00B376A4" w:rsidRDefault="006C018A" w:rsidP="003F4E38">
            <w:pPr>
              <w:ind w:left="5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PT" w:eastAsia="en-GB"/>
              </w:rPr>
              <w:t>ESPÉCIES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8A" w:rsidRPr="00B376A4" w:rsidRDefault="006C018A" w:rsidP="003F4E38">
            <w:pPr>
              <w:ind w:left="1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pt-PT" w:eastAsia="en-GB"/>
              </w:rPr>
              <w:t>TITULAR AIM</w:t>
            </w:r>
          </w:p>
        </w:tc>
      </w:tr>
      <w:tr w:rsidR="006C018A" w:rsidRPr="00315A40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AFLUSIN 50 mg/ml SUSPENSÃO INJECTÁVEL PARA BOVINOS SUÍNOS E EQUINOS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015/01/07NFVPT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FLUNIXINA 50 MG/ML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E01EF8">
            <w:pPr>
              <w:ind w:left="133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Solução injetável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Bovinos, Suínos </w:t>
            </w:r>
            <w:r w:rsidR="00DE54EF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e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Equinos.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Ceva Saúde Animal - Produtos Farmacêuticos e Imunológicos, Lda.</w:t>
            </w:r>
          </w:p>
        </w:tc>
      </w:tr>
      <w:tr w:rsidR="006C018A" w:rsidRPr="00B376A4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DOFATRIMJECT, pó solúvel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51439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TRIMETOPRIM; SULFADOXINA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E01EF8">
            <w:pPr>
              <w:ind w:left="133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Solução injetável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Bovinos; Suínos; Equinos, Caninos </w:t>
            </w:r>
            <w:r w:rsidR="00DE54EF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e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Felinos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DOPHARMA RESEARCH BV</w:t>
            </w:r>
          </w:p>
        </w:tc>
      </w:tr>
      <w:tr w:rsidR="006C018A" w:rsidRPr="00B376A4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E5C24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FINADYNE 50 mg/ml solução injetável para bovinos, equinos e su</w:t>
            </w:r>
            <w:r w:rsidR="003E5C2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í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nos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50752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Flunixina meglumina 83 mg</w:t>
            </w:r>
            <w:r w:rsidR="003F4E38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(equivalente a 50 mg de Flunixina)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E01EF8">
            <w:pPr>
              <w:ind w:left="133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Solução injetável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B376A4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Equinos; Bovinos; Su</w:t>
            </w:r>
            <w:r w:rsid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í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nos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MSD Animal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Health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, Lda.</w:t>
            </w:r>
          </w:p>
        </w:tc>
      </w:tr>
      <w:tr w:rsidR="006C018A" w:rsidRPr="00B376A4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Flunixin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3E 50 mg/ml solução injetável para Bovinos, Equinos e Suínos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133/01/08RFVPT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Flunixina (na forma de flunixina meglumina)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E01EF8">
            <w:pPr>
              <w:ind w:left="133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Solução injetável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Bovinos, Equinos </w:t>
            </w:r>
            <w:r w:rsidR="00DE54EF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e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Suínos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Norbrook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Laboratories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Limited</w:t>
            </w:r>
            <w:proofErr w:type="spellEnd"/>
          </w:p>
        </w:tc>
      </w:tr>
      <w:tr w:rsidR="006C018A" w:rsidRPr="00B376A4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Flunixina 5% Solução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Injectável</w:t>
            </w:r>
            <w:proofErr w:type="spellEnd"/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51312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FLUNIXINA MEGLUMINA 50 MG/ML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E01EF8">
            <w:pPr>
              <w:ind w:left="133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Solução injetável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Bovinos E Cavalos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NORBROOK LABORATORIES LTD</w:t>
            </w:r>
          </w:p>
        </w:tc>
      </w:tr>
      <w:tr w:rsidR="006C018A" w:rsidRPr="00315A40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Fluvex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50 mg/ml solução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injectável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para bovinos, suínos e 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lastRenderedPageBreak/>
              <w:t>equinos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lastRenderedPageBreak/>
              <w:t>225/01/09RFVPT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Flunixina (como flunixina meglumina) 50,0 mg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br/>
            </w:r>
            <w:proofErr w:type="gram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lastRenderedPageBreak/>
              <w:t>(Equivalente</w:t>
            </w:r>
            <w:proofErr w:type="gram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a 82.9 mg de flunixina meglumina)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E01EF8">
            <w:pPr>
              <w:ind w:left="133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lastRenderedPageBreak/>
              <w:t>Solução injetável.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Bovinos, Equinos (Cavalos) </w:t>
            </w:r>
            <w:r w:rsidR="00DE54EF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e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lastRenderedPageBreak/>
              <w:t>Suínos.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lastRenderedPageBreak/>
              <w:t>S.P. VETERINARIA, S. A.</w:t>
            </w:r>
          </w:p>
        </w:tc>
      </w:tr>
      <w:tr w:rsidR="006C018A" w:rsidRPr="00B376A4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lastRenderedPageBreak/>
              <w:t>Indigest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0.1 g/ml Solução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Injectável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para Equinos, Bovinos, Suínos, Ovinos, Caprinos e Cães (ex</w:t>
            </w:r>
            <w:r w:rsidR="003E5C2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.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IDO-GENABIL)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645/01/13NFVPT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Membutona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100</w:t>
            </w:r>
            <w:r w:rsidR="003F4E38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mg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E01EF8">
            <w:pPr>
              <w:ind w:left="133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Solução Injetável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Bovinos, Ovinos, Caprino, Suínos, Equinos E Cães.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CALIER PORTUGAL, S.A</w:t>
            </w:r>
          </w:p>
        </w:tc>
      </w:tr>
      <w:tr w:rsidR="006C018A" w:rsidRPr="00B376A4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MEFLOSYL 5% solução injetável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51458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gram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FLUNIXINA(MEGLUMINA</w:t>
            </w:r>
            <w:proofErr w:type="gram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)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BF71B5">
            <w:pPr>
              <w:ind w:left="133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Solução injetável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Bovinos, Equinos </w:t>
            </w:r>
            <w:r w:rsidR="00C02CF6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e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Suínos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Zoetis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Portugal, Lda.</w:t>
            </w:r>
          </w:p>
        </w:tc>
      </w:tr>
      <w:tr w:rsidR="006C018A" w:rsidRPr="00315A40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MEGANYL 50 mg/ml solução injetável para bovinos, suínos e equinos.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937/01/15RFVPT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Flunixina 50,0 mg</w:t>
            </w:r>
            <w:r w:rsidR="003F4E38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(como flunixina meglumina)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33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Solução injetável.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Bovinos, Suínos </w:t>
            </w:r>
            <w:r w:rsidR="00C02CF6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e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Equinos.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Laboratorio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SYVA S.A.U.</w:t>
            </w:r>
          </w:p>
        </w:tc>
      </w:tr>
      <w:tr w:rsidR="006C018A" w:rsidRPr="00B376A4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Megluvet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, 50 mg/ml, solução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injectável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para bovinos, suínos e equinos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244/01/10NFVPT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Flunixina Meglumina 82.95 mg</w:t>
            </w:r>
            <w:r w:rsidR="003F4E38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. E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quivalente a Flunixina 50 mg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BF71B5">
            <w:pPr>
              <w:ind w:left="133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Solução injetável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Bovinos, Suínos </w:t>
            </w:r>
            <w:r w:rsidR="00C02CF6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e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Equinos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Fatro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S.p.A</w:t>
            </w:r>
            <w:proofErr w:type="spellEnd"/>
          </w:p>
        </w:tc>
      </w:tr>
      <w:tr w:rsidR="006C018A" w:rsidRPr="00B376A4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NIGLUMINE 50 mg/ml solução injetável para bovinos, equinos e suínos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081/01/08RFVPT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Flunixina (meglumina)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br/>
              <w:t>(Equivalente a 82,9 mg flunixina meglumina) 50mg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br/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BF71B5">
            <w:pPr>
              <w:ind w:left="133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Solução injetável.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Bovinos, Equinos </w:t>
            </w:r>
            <w:r w:rsidR="00C02CF6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e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Suínos.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CALIER PORTUGAL, S.A.</w:t>
            </w:r>
          </w:p>
        </w:tc>
      </w:tr>
      <w:tr w:rsidR="006C018A" w:rsidRPr="00B376A4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Tribrissen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48% suspensão injetável para bovinos, ovinos, suínos e equinos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763/01/14NFVPT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Trimetoprim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80 mg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33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Suspensão injetável.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br/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B376A4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Bovinos; Ovinos; Su</w:t>
            </w:r>
            <w:r w:rsid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í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nos; Equinos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MSD Animal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Health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, Lda.</w:t>
            </w:r>
          </w:p>
        </w:tc>
      </w:tr>
      <w:tr w:rsidR="006C018A" w:rsidRPr="00B376A4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Tribrissen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Suspensão oral para administração na água de bebida para frangos e perus (TRIBISSEN A 48% SUSPENSÃO ORAL P/ AVES)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802/01/14NFVPT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Trimetoprim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80 mg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br/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Sulfadiazina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400 mg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33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Suspensão Oral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Frangos </w:t>
            </w:r>
            <w:r w:rsidR="00062716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e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Perus.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MSD Animal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Health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, Lda.</w:t>
            </w:r>
          </w:p>
        </w:tc>
      </w:tr>
      <w:tr w:rsidR="006C018A" w:rsidRPr="00B376A4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TRIVETRIN solução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injectável</w:t>
            </w:r>
            <w:proofErr w:type="spellEnd"/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827/01/14NFVPT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Sulfadoxina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200,0 mg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br/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Trimetoprim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40,0 mg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33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Solução injetável.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Bovinos, Ovinos, Suínos, Equinos </w:t>
            </w:r>
            <w:r w:rsidR="00062716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e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Caninos (Cães).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MSD Animal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Health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, Lda.</w:t>
            </w:r>
          </w:p>
        </w:tc>
      </w:tr>
      <w:tr w:rsidR="006C018A" w:rsidRPr="00B376A4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Vetaflumex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50 mg/ml, solução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injectável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para bovinos, equinos e suínos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852/01/14DFVPT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Flunixina Meglumina 83 mg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br/>
            </w:r>
            <w:proofErr w:type="gram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(equivalente</w:t>
            </w:r>
            <w:proofErr w:type="gram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a 50 mg de Flunixina)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BF71B5">
            <w:pPr>
              <w:ind w:left="133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Solução injetável</w:t>
            </w:r>
            <w:r w:rsidR="00BF71B5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.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Bovinos, Suínos </w:t>
            </w:r>
            <w:r w:rsidR="00062716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e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Equinos.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655951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55951">
              <w:rPr>
                <w:rFonts w:ascii="Verdana" w:hAnsi="Verdana"/>
                <w:color w:val="000000"/>
                <w:sz w:val="16"/>
                <w:szCs w:val="16"/>
                <w:lang w:val="en-US" w:eastAsia="en-GB"/>
              </w:rPr>
              <w:t xml:space="preserve">Multi-Trade Company Vet-Agro Sp. </w:t>
            </w:r>
            <w:proofErr w:type="spellStart"/>
            <w:r w:rsidRPr="00655951">
              <w:rPr>
                <w:rFonts w:ascii="Verdana" w:hAnsi="Verdana"/>
                <w:color w:val="000000"/>
                <w:sz w:val="16"/>
                <w:szCs w:val="16"/>
                <w:lang w:val="en-US" w:eastAsia="en-GB"/>
              </w:rPr>
              <w:t>Z.o.o</w:t>
            </w:r>
            <w:proofErr w:type="spellEnd"/>
            <w:r w:rsidRPr="00655951">
              <w:rPr>
                <w:rFonts w:ascii="Verdana" w:hAnsi="Verdana"/>
                <w:color w:val="000000"/>
                <w:sz w:val="16"/>
                <w:szCs w:val="16"/>
                <w:lang w:val="en-US" w:eastAsia="en-GB"/>
              </w:rPr>
              <w:t>.</w:t>
            </w:r>
          </w:p>
        </w:tc>
      </w:tr>
      <w:tr w:rsidR="006C018A" w:rsidRPr="00315A40" w:rsidTr="003F4E38">
        <w:trPr>
          <w:tblCellSpacing w:w="0" w:type="dxa"/>
        </w:trPr>
        <w:tc>
          <w:tcPr>
            <w:tcW w:w="2977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Wellicox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50 mg/ml solução </w:t>
            </w:r>
            <w:proofErr w:type="spellStart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injectável</w:t>
            </w:r>
            <w:proofErr w:type="spellEnd"/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para Bovinos, Suínos e Cavalos</w:t>
            </w:r>
          </w:p>
        </w:tc>
        <w:tc>
          <w:tcPr>
            <w:tcW w:w="1701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652/01/13DFVPT</w:t>
            </w:r>
          </w:p>
        </w:tc>
        <w:tc>
          <w:tcPr>
            <w:tcW w:w="2835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3F4E38">
            <w:pPr>
              <w:ind w:left="112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Flunixina (como meglumina) 50 mg</w:t>
            </w:r>
          </w:p>
        </w:tc>
        <w:tc>
          <w:tcPr>
            <w:tcW w:w="1842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BF71B5">
            <w:pPr>
              <w:ind w:left="133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Solução injetável</w:t>
            </w:r>
            <w:r w:rsidR="00BF71B5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.</w:t>
            </w:r>
          </w:p>
        </w:tc>
        <w:tc>
          <w:tcPr>
            <w:tcW w:w="165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DE54EF">
            <w:pPr>
              <w:ind w:left="58"/>
              <w:jc w:val="left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Bovinos, Suínos </w:t>
            </w:r>
            <w:r w:rsidR="00062716"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e</w:t>
            </w: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 xml:space="preserve"> Equinos (Cavalos).</w:t>
            </w:r>
          </w:p>
        </w:tc>
        <w:tc>
          <w:tcPr>
            <w:tcW w:w="2314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018A" w:rsidRPr="00B376A4" w:rsidRDefault="006C018A" w:rsidP="00CC584F">
            <w:pPr>
              <w:ind w:left="112"/>
              <w:rPr>
                <w:rFonts w:ascii="Times New Roman" w:hAnsi="Times New Roman"/>
                <w:sz w:val="24"/>
                <w:szCs w:val="24"/>
                <w:lang w:val="pt-PT" w:eastAsia="en-GB"/>
              </w:rPr>
            </w:pPr>
            <w:r w:rsidRPr="00B376A4">
              <w:rPr>
                <w:rFonts w:ascii="Verdana" w:hAnsi="Verdana"/>
                <w:color w:val="000000"/>
                <w:sz w:val="16"/>
                <w:szCs w:val="16"/>
                <w:lang w:val="pt-PT" w:eastAsia="en-GB"/>
              </w:rPr>
              <w:t>Ceva Saúde Animal - Produtos Farmacêuticos e Imunológicos, Lda.</w:t>
            </w:r>
          </w:p>
        </w:tc>
      </w:tr>
    </w:tbl>
    <w:p w:rsidR="009C1CD5" w:rsidRPr="00B376A4" w:rsidRDefault="009C1CD5" w:rsidP="00B84E67">
      <w:pPr>
        <w:ind w:left="0"/>
        <w:rPr>
          <w:rFonts w:asciiTheme="minorHAnsi" w:hAnsiTheme="minorHAnsi" w:cs="Arial"/>
          <w:sz w:val="21"/>
          <w:szCs w:val="21"/>
          <w:lang w:val="pt-PT"/>
        </w:rPr>
      </w:pPr>
    </w:p>
    <w:sectPr w:rsidR="009C1CD5" w:rsidRPr="00B376A4" w:rsidSect="00227527">
      <w:headerReference w:type="default" r:id="rId8"/>
      <w:pgSz w:w="16838" w:h="11906" w:orient="landscape"/>
      <w:pgMar w:top="1701" w:right="1985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B4" w:rsidRDefault="004376B4" w:rsidP="00340D13">
      <w:r>
        <w:separator/>
      </w:r>
    </w:p>
  </w:endnote>
  <w:endnote w:type="continuationSeparator" w:id="0">
    <w:p w:rsidR="004376B4" w:rsidRDefault="004376B4" w:rsidP="0034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B4" w:rsidRDefault="004376B4" w:rsidP="00340D13">
      <w:r>
        <w:separator/>
      </w:r>
    </w:p>
  </w:footnote>
  <w:footnote w:type="continuationSeparator" w:id="0">
    <w:p w:rsidR="004376B4" w:rsidRDefault="004376B4" w:rsidP="00340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13" w:rsidRDefault="00340D13">
    <w:pPr>
      <w:pStyle w:val="Cabealho"/>
    </w:pPr>
    <w:r>
      <w:rPr>
        <w:rFonts w:asciiTheme="minorHAnsi" w:hAnsiTheme="minorHAnsi" w:cs="Arial"/>
        <w:b/>
        <w:noProof/>
        <w:sz w:val="24"/>
        <w:szCs w:val="24"/>
        <w:u w:val="single"/>
        <w:lang w:val="pt-PT" w:eastAsia="pt-PT"/>
      </w:rPr>
      <w:drawing>
        <wp:anchor distT="0" distB="0" distL="114300" distR="114300" simplePos="0" relativeHeight="251659264" behindDoc="0" locked="0" layoutInCell="1" allowOverlap="1" wp14:anchorId="6A7BA408" wp14:editId="2450C0E4">
          <wp:simplePos x="0" y="0"/>
          <wp:positionH relativeFrom="column">
            <wp:posOffset>7468870</wp:posOffset>
          </wp:positionH>
          <wp:positionV relativeFrom="paragraph">
            <wp:posOffset>-137795</wp:posOffset>
          </wp:positionV>
          <wp:extent cx="1015365" cy="721360"/>
          <wp:effectExtent l="0" t="0" r="0" b="254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22"/>
    <w:rsid w:val="000140C0"/>
    <w:rsid w:val="00016699"/>
    <w:rsid w:val="00043864"/>
    <w:rsid w:val="00062716"/>
    <w:rsid w:val="000950BA"/>
    <w:rsid w:val="000A15A4"/>
    <w:rsid w:val="000B0827"/>
    <w:rsid w:val="00102CF8"/>
    <w:rsid w:val="0014078E"/>
    <w:rsid w:val="00203D4A"/>
    <w:rsid w:val="00225121"/>
    <w:rsid w:val="00227527"/>
    <w:rsid w:val="00242E6C"/>
    <w:rsid w:val="00253E89"/>
    <w:rsid w:val="00262710"/>
    <w:rsid w:val="00285409"/>
    <w:rsid w:val="002A61B0"/>
    <w:rsid w:val="0031597B"/>
    <w:rsid w:val="00315A26"/>
    <w:rsid w:val="00315A40"/>
    <w:rsid w:val="0033797B"/>
    <w:rsid w:val="00340D13"/>
    <w:rsid w:val="0037406A"/>
    <w:rsid w:val="003874F1"/>
    <w:rsid w:val="003E4D39"/>
    <w:rsid w:val="003E5C24"/>
    <w:rsid w:val="003F4E38"/>
    <w:rsid w:val="00412686"/>
    <w:rsid w:val="004204B1"/>
    <w:rsid w:val="004376B4"/>
    <w:rsid w:val="004759A0"/>
    <w:rsid w:val="004A1DE7"/>
    <w:rsid w:val="004A2485"/>
    <w:rsid w:val="004B721C"/>
    <w:rsid w:val="004C3B4E"/>
    <w:rsid w:val="00516EC0"/>
    <w:rsid w:val="00550AF4"/>
    <w:rsid w:val="005D5512"/>
    <w:rsid w:val="00655951"/>
    <w:rsid w:val="00674CD3"/>
    <w:rsid w:val="0069715E"/>
    <w:rsid w:val="006C018A"/>
    <w:rsid w:val="006F77D6"/>
    <w:rsid w:val="007011FF"/>
    <w:rsid w:val="007863DA"/>
    <w:rsid w:val="007932F6"/>
    <w:rsid w:val="007A2B2E"/>
    <w:rsid w:val="007B529E"/>
    <w:rsid w:val="007C0B0F"/>
    <w:rsid w:val="007C7A56"/>
    <w:rsid w:val="007D21F0"/>
    <w:rsid w:val="00801C65"/>
    <w:rsid w:val="0086350C"/>
    <w:rsid w:val="008969EA"/>
    <w:rsid w:val="008A5DE3"/>
    <w:rsid w:val="008E31A1"/>
    <w:rsid w:val="008F2E5C"/>
    <w:rsid w:val="0090382A"/>
    <w:rsid w:val="0091278E"/>
    <w:rsid w:val="00917C55"/>
    <w:rsid w:val="00917E69"/>
    <w:rsid w:val="009551F7"/>
    <w:rsid w:val="009A1664"/>
    <w:rsid w:val="009C162B"/>
    <w:rsid w:val="009C1CD5"/>
    <w:rsid w:val="009C66A5"/>
    <w:rsid w:val="009E3521"/>
    <w:rsid w:val="00A02122"/>
    <w:rsid w:val="00A40D9F"/>
    <w:rsid w:val="00A526C8"/>
    <w:rsid w:val="00A84345"/>
    <w:rsid w:val="00AA205E"/>
    <w:rsid w:val="00AB5582"/>
    <w:rsid w:val="00AF0992"/>
    <w:rsid w:val="00B376A4"/>
    <w:rsid w:val="00B546C4"/>
    <w:rsid w:val="00B70A29"/>
    <w:rsid w:val="00B766E7"/>
    <w:rsid w:val="00B84E67"/>
    <w:rsid w:val="00B87754"/>
    <w:rsid w:val="00B87AB6"/>
    <w:rsid w:val="00B87BC4"/>
    <w:rsid w:val="00B94D03"/>
    <w:rsid w:val="00BC526C"/>
    <w:rsid w:val="00BE036A"/>
    <w:rsid w:val="00BF71B5"/>
    <w:rsid w:val="00C02CF6"/>
    <w:rsid w:val="00C32105"/>
    <w:rsid w:val="00C34755"/>
    <w:rsid w:val="00C537EB"/>
    <w:rsid w:val="00C830E8"/>
    <w:rsid w:val="00C93396"/>
    <w:rsid w:val="00CA02D8"/>
    <w:rsid w:val="00CA74A2"/>
    <w:rsid w:val="00CC584F"/>
    <w:rsid w:val="00CE3499"/>
    <w:rsid w:val="00D34677"/>
    <w:rsid w:val="00D47164"/>
    <w:rsid w:val="00D954E8"/>
    <w:rsid w:val="00DE54EF"/>
    <w:rsid w:val="00DF0D2B"/>
    <w:rsid w:val="00DF6EC3"/>
    <w:rsid w:val="00E01EF8"/>
    <w:rsid w:val="00E268EA"/>
    <w:rsid w:val="00E542C0"/>
    <w:rsid w:val="00E6650D"/>
    <w:rsid w:val="00E81365"/>
    <w:rsid w:val="00E87ED6"/>
    <w:rsid w:val="00E94B8F"/>
    <w:rsid w:val="00EA1DDC"/>
    <w:rsid w:val="00EB627E"/>
    <w:rsid w:val="00EB703D"/>
    <w:rsid w:val="00EC38FB"/>
    <w:rsid w:val="00F3060A"/>
    <w:rsid w:val="00F9659D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2"/>
    <w:pPr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02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AA20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17C5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7C55"/>
    <w:rPr>
      <w:rFonts w:ascii="Tahoma" w:eastAsia="Times New Roman" w:hAnsi="Tahoma" w:cs="Tahoma"/>
      <w:sz w:val="16"/>
      <w:szCs w:val="16"/>
      <w:lang w:val="en-GB"/>
    </w:rPr>
  </w:style>
  <w:style w:type="paragraph" w:styleId="Cabealho">
    <w:name w:val="header"/>
    <w:basedOn w:val="Normal"/>
    <w:link w:val="CabealhoCarcter"/>
    <w:uiPriority w:val="99"/>
    <w:unhideWhenUsed/>
    <w:rsid w:val="00340D1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40D13"/>
    <w:rPr>
      <w:rFonts w:ascii="Arial" w:eastAsia="Times New Roman" w:hAnsi="Arial" w:cs="Times New Roman"/>
      <w:szCs w:val="20"/>
      <w:lang w:val="en-GB"/>
    </w:rPr>
  </w:style>
  <w:style w:type="paragraph" w:styleId="Rodap">
    <w:name w:val="footer"/>
    <w:basedOn w:val="Normal"/>
    <w:link w:val="RodapCarcter"/>
    <w:uiPriority w:val="99"/>
    <w:unhideWhenUsed/>
    <w:rsid w:val="00340D1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40D13"/>
    <w:rPr>
      <w:rFonts w:ascii="Arial" w:eastAsia="Times New Roman" w:hAnsi="Arial" w:cs="Times New Roman"/>
      <w:szCs w:val="20"/>
      <w:lang w:val="en-GB"/>
    </w:rPr>
  </w:style>
  <w:style w:type="table" w:styleId="Tabelacomgrelha">
    <w:name w:val="Table Grid"/>
    <w:basedOn w:val="Tabelanormal"/>
    <w:uiPriority w:val="39"/>
    <w:rsid w:val="00CA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2"/>
    <w:pPr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02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AA20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17C5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7C55"/>
    <w:rPr>
      <w:rFonts w:ascii="Tahoma" w:eastAsia="Times New Roman" w:hAnsi="Tahoma" w:cs="Tahoma"/>
      <w:sz w:val="16"/>
      <w:szCs w:val="16"/>
      <w:lang w:val="en-GB"/>
    </w:rPr>
  </w:style>
  <w:style w:type="paragraph" w:styleId="Cabealho">
    <w:name w:val="header"/>
    <w:basedOn w:val="Normal"/>
    <w:link w:val="CabealhoCarcter"/>
    <w:uiPriority w:val="99"/>
    <w:unhideWhenUsed/>
    <w:rsid w:val="00340D1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40D13"/>
    <w:rPr>
      <w:rFonts w:ascii="Arial" w:eastAsia="Times New Roman" w:hAnsi="Arial" w:cs="Times New Roman"/>
      <w:szCs w:val="20"/>
      <w:lang w:val="en-GB"/>
    </w:rPr>
  </w:style>
  <w:style w:type="paragraph" w:styleId="Rodap">
    <w:name w:val="footer"/>
    <w:basedOn w:val="Normal"/>
    <w:link w:val="RodapCarcter"/>
    <w:uiPriority w:val="99"/>
    <w:unhideWhenUsed/>
    <w:rsid w:val="00340D1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40D13"/>
    <w:rPr>
      <w:rFonts w:ascii="Arial" w:eastAsia="Times New Roman" w:hAnsi="Arial" w:cs="Times New Roman"/>
      <w:szCs w:val="20"/>
      <w:lang w:val="en-GB"/>
    </w:rPr>
  </w:style>
  <w:style w:type="table" w:styleId="Tabelacomgrelha">
    <w:name w:val="Table Grid"/>
    <w:basedOn w:val="Tabelanormal"/>
    <w:uiPriority w:val="39"/>
    <w:rsid w:val="00CA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FMC Technologies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Celestino Magalhaes</dc:creator>
  <cp:lastModifiedBy>Henrique Ramos da Costa</cp:lastModifiedBy>
  <cp:revision>4</cp:revision>
  <cp:lastPrinted>2018-07-25T14:00:00Z</cp:lastPrinted>
  <dcterms:created xsi:type="dcterms:W3CDTF">2018-08-06T13:23:00Z</dcterms:created>
  <dcterms:modified xsi:type="dcterms:W3CDTF">2018-08-06T13:24:00Z</dcterms:modified>
</cp:coreProperties>
</file>